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83DF" w14:textId="77777777" w:rsidR="00A00863" w:rsidRPr="00EC1032" w:rsidRDefault="00F31CBA" w:rsidP="005B38D1">
      <w:pPr>
        <w:spacing w:after="240"/>
        <w:rPr>
          <w:b/>
          <w:szCs w:val="24"/>
          <w:lang w:eastAsia="sl-SI"/>
        </w:rPr>
      </w:pPr>
      <w:r w:rsidRPr="00EC1032">
        <w:rPr>
          <w:b/>
          <w:szCs w:val="24"/>
          <w:lang w:eastAsia="sl-SI"/>
        </w:rPr>
        <w:t>Navodila in pojasnila</w:t>
      </w:r>
    </w:p>
    <w:p w14:paraId="6F2BA85F" w14:textId="77777777" w:rsidR="00A00863" w:rsidRPr="00EC1032" w:rsidRDefault="00A00863" w:rsidP="005B38D1">
      <w:pPr>
        <w:spacing w:line="160" w:lineRule="atLeast"/>
        <w:ind w:left="705" w:hanging="705"/>
        <w:rPr>
          <w:szCs w:val="24"/>
          <w:lang w:eastAsia="sl-SI"/>
        </w:rPr>
      </w:pPr>
      <w:r w:rsidRPr="00EC1032">
        <w:rPr>
          <w:szCs w:val="24"/>
          <w:lang w:eastAsia="sl-SI"/>
        </w:rPr>
        <w:t xml:space="preserve">1. </w:t>
      </w:r>
      <w:r w:rsidRPr="00EC1032">
        <w:rPr>
          <w:szCs w:val="24"/>
          <w:lang w:eastAsia="sl-SI"/>
        </w:rPr>
        <w:tab/>
      </w:r>
      <w:r w:rsidR="00070860" w:rsidRPr="00EC1032">
        <w:rPr>
          <w:szCs w:val="24"/>
          <w:lang w:eastAsia="sl-SI"/>
        </w:rPr>
        <w:t>Polno ime in naslov dejanskega (ponovnega) izvoznika, ne njegovega zastopnika. Pri potrdilu o osebnem lastništvu polno ime in naslov zakonitega lastnika.</w:t>
      </w:r>
    </w:p>
    <w:p w14:paraId="78E744B6" w14:textId="77777777" w:rsidR="00A00863" w:rsidRPr="00EC1032" w:rsidRDefault="00A00863" w:rsidP="005B38D1">
      <w:pPr>
        <w:spacing w:line="160" w:lineRule="atLeast"/>
        <w:ind w:left="708" w:hanging="708"/>
        <w:rPr>
          <w:szCs w:val="24"/>
          <w:lang w:eastAsia="sl-SI"/>
        </w:rPr>
      </w:pPr>
      <w:r w:rsidRPr="00EC1032">
        <w:rPr>
          <w:szCs w:val="24"/>
          <w:lang w:eastAsia="sl-SI"/>
        </w:rPr>
        <w:t xml:space="preserve">2. </w:t>
      </w:r>
      <w:r w:rsidRPr="00EC1032">
        <w:rPr>
          <w:szCs w:val="24"/>
          <w:lang w:eastAsia="sl-SI"/>
        </w:rPr>
        <w:tab/>
      </w:r>
      <w:r w:rsidR="00070860" w:rsidRPr="00EC1032">
        <w:rPr>
          <w:szCs w:val="24"/>
          <w:lang w:eastAsia="sl-SI"/>
        </w:rPr>
        <w:t>Veljavnost izvoznega dovoljenja ali potrdila o ponovnem izvozu ne presega šest mesecev, veljavnost uvoznega dovoljenja pa ne dvanajst mesecev. Veljavnost potrdila o osebnem lastništvu ne presega treh let. Po zadnjem dnevu veljavnosti je ta dokument ničen in nima nobene pravne veljavnosti, izvirnik in vse kopije pa mora imetnik brez nepotrebnega odlašanja vrniti upravnemu organu izdajatelju. Uvozno dovoljenje ne velja, če je bil ustrezen dokument CITES iz države (ponovnega) izvoza uporabljen za (ponovni) izvoz po zadnjem dnevu veljavnosti ali če je datum vnosa v Skupnost več kot šest mesecev po datumu njegove izdaje.</w:t>
      </w:r>
    </w:p>
    <w:p w14:paraId="5B43F23A" w14:textId="77777777" w:rsidR="00A00863" w:rsidRPr="00EC1032" w:rsidRDefault="00070860" w:rsidP="005B38D1">
      <w:pPr>
        <w:spacing w:line="160" w:lineRule="atLeast"/>
        <w:ind w:left="705" w:hanging="705"/>
        <w:rPr>
          <w:szCs w:val="24"/>
          <w:lang w:eastAsia="sl-SI"/>
        </w:rPr>
      </w:pPr>
      <w:r w:rsidRPr="00EC1032">
        <w:rPr>
          <w:szCs w:val="24"/>
          <w:lang w:eastAsia="sl-SI"/>
        </w:rPr>
        <w:t>3.</w:t>
      </w:r>
      <w:r w:rsidRPr="00EC1032">
        <w:rPr>
          <w:szCs w:val="24"/>
          <w:lang w:eastAsia="sl-SI"/>
        </w:rPr>
        <w:tab/>
        <w:t>Polno ime in naslov dejanskega uvoznika, ne njegovega zastopnika. Pri potrdilu o osebnem lastništvu ostane prazno.</w:t>
      </w:r>
    </w:p>
    <w:p w14:paraId="58B07B80" w14:textId="77777777" w:rsidR="00070860" w:rsidRPr="00EC1032" w:rsidRDefault="00070860" w:rsidP="005B38D1">
      <w:pPr>
        <w:spacing w:line="160" w:lineRule="atLeast"/>
        <w:rPr>
          <w:szCs w:val="24"/>
          <w:lang w:eastAsia="sl-SI"/>
        </w:rPr>
      </w:pPr>
      <w:r w:rsidRPr="00EC1032">
        <w:rPr>
          <w:szCs w:val="24"/>
          <w:lang w:eastAsia="sl-SI"/>
        </w:rPr>
        <w:t>5.</w:t>
      </w:r>
      <w:r w:rsidRPr="00EC1032">
        <w:rPr>
          <w:szCs w:val="24"/>
          <w:lang w:eastAsia="sl-SI"/>
        </w:rPr>
        <w:tab/>
        <w:t>Pri potrdilu o osebnem lastništvu ostane prazno.</w:t>
      </w:r>
    </w:p>
    <w:p w14:paraId="057ED4F1" w14:textId="77777777" w:rsidR="00A00863" w:rsidRPr="00EC1032" w:rsidRDefault="00A00863" w:rsidP="005B38D1">
      <w:pPr>
        <w:spacing w:line="160" w:lineRule="atLeast"/>
        <w:ind w:left="708" w:hanging="708"/>
        <w:rPr>
          <w:szCs w:val="24"/>
          <w:lang w:eastAsia="sl-SI"/>
        </w:rPr>
      </w:pPr>
      <w:r w:rsidRPr="00EC1032">
        <w:rPr>
          <w:szCs w:val="24"/>
          <w:lang w:eastAsia="sl-SI"/>
        </w:rPr>
        <w:t xml:space="preserve">6. </w:t>
      </w:r>
      <w:r w:rsidRPr="00EC1032">
        <w:rPr>
          <w:szCs w:val="24"/>
          <w:lang w:eastAsia="sl-SI"/>
        </w:rPr>
        <w:tab/>
      </w:r>
      <w:r w:rsidR="00C02453" w:rsidRPr="00EC1032">
        <w:rPr>
          <w:szCs w:val="24"/>
          <w:lang w:eastAsia="sl-SI"/>
        </w:rPr>
        <w:t>Za žive osebke vrst iz Priloge A, razen osebke, gojene v ujetništvu ali umetno razmnožene, lahko organ izdajatelj predpiše kraj, v katerem bodo osebki nastanjeni, tako da v to okence vpiše podatke o tem kraju. Za kakršen koli prenos, razen zaradi nujnega veterinarskega zdravljenja in pod pogojem, da se osebki vrnejo naravnost v dovoljeni kraj, je potrebno predhodno dovoljenje pristojnega upravnega organa.</w:t>
      </w:r>
    </w:p>
    <w:p w14:paraId="6DBBC331" w14:textId="77777777" w:rsidR="00A00863" w:rsidRPr="00EC1032" w:rsidRDefault="00A00863" w:rsidP="005B38D1">
      <w:pPr>
        <w:spacing w:line="160" w:lineRule="atLeast"/>
        <w:ind w:left="705" w:hanging="705"/>
        <w:rPr>
          <w:szCs w:val="24"/>
          <w:lang w:eastAsia="sl-SI"/>
        </w:rPr>
      </w:pPr>
      <w:r w:rsidRPr="00EC1032">
        <w:rPr>
          <w:szCs w:val="24"/>
          <w:lang w:eastAsia="sl-SI"/>
        </w:rPr>
        <w:t xml:space="preserve">8. </w:t>
      </w:r>
      <w:r w:rsidRPr="00EC1032">
        <w:rPr>
          <w:szCs w:val="24"/>
          <w:lang w:eastAsia="sl-SI"/>
        </w:rPr>
        <w:tab/>
      </w:r>
      <w:r w:rsidR="00090C9F" w:rsidRPr="00EC1032">
        <w:rPr>
          <w:szCs w:val="24"/>
          <w:lang w:eastAsia="sl-SI"/>
        </w:rPr>
        <w:t xml:space="preserve">Opis mora biti čim bolj natančen in mora vsebovati </w:t>
      </w:r>
      <w:proofErr w:type="spellStart"/>
      <w:r w:rsidR="00090C9F" w:rsidRPr="00EC1032">
        <w:rPr>
          <w:szCs w:val="24"/>
          <w:lang w:eastAsia="sl-SI"/>
        </w:rPr>
        <w:t>tričrkovno</w:t>
      </w:r>
      <w:proofErr w:type="spellEnd"/>
      <w:r w:rsidR="00090C9F" w:rsidRPr="00EC1032">
        <w:rPr>
          <w:szCs w:val="24"/>
          <w:lang w:eastAsia="sl-SI"/>
        </w:rPr>
        <w:t xml:space="preserve"> kodo skladno s Prilogo VII k Uredbi (ES) št. </w:t>
      </w:r>
      <w:r w:rsidR="000A4530" w:rsidRPr="00EC1032">
        <w:rPr>
          <w:szCs w:val="24"/>
          <w:lang w:eastAsia="sl-SI"/>
        </w:rPr>
        <w:t>865/2006</w:t>
      </w:r>
      <w:r w:rsidR="00090C9F" w:rsidRPr="00EC1032">
        <w:rPr>
          <w:szCs w:val="24"/>
          <w:lang w:eastAsia="sl-SI"/>
        </w:rPr>
        <w:t>.</w:t>
      </w:r>
    </w:p>
    <w:p w14:paraId="573C1DFE" w14:textId="77777777" w:rsidR="00A00863" w:rsidRPr="00EC1032" w:rsidRDefault="00A00863" w:rsidP="005B38D1">
      <w:pPr>
        <w:spacing w:line="160" w:lineRule="atLeast"/>
        <w:ind w:left="705" w:hanging="705"/>
        <w:rPr>
          <w:szCs w:val="24"/>
          <w:lang w:eastAsia="sl-SI"/>
        </w:rPr>
      </w:pPr>
      <w:r w:rsidRPr="00EC1032">
        <w:rPr>
          <w:szCs w:val="24"/>
          <w:lang w:eastAsia="sl-SI"/>
        </w:rPr>
        <w:t xml:space="preserve">9/10. </w:t>
      </w:r>
      <w:r w:rsidRPr="00EC1032">
        <w:rPr>
          <w:szCs w:val="24"/>
          <w:lang w:eastAsia="sl-SI"/>
        </w:rPr>
        <w:tab/>
      </w:r>
      <w:r w:rsidR="005B0906" w:rsidRPr="00EC1032">
        <w:rPr>
          <w:szCs w:val="24"/>
          <w:lang w:eastAsia="sl-SI"/>
        </w:rPr>
        <w:t xml:space="preserve">Uporabimo enote količine in/ali neto mase, skladne s tistimi iz </w:t>
      </w:r>
      <w:r w:rsidR="000A4530" w:rsidRPr="00EC1032">
        <w:rPr>
          <w:szCs w:val="24"/>
          <w:lang w:eastAsia="sl-SI"/>
        </w:rPr>
        <w:t>Priloge VII k Uredbi (ES) št. 865/2006</w:t>
      </w:r>
      <w:r w:rsidR="005B0906" w:rsidRPr="00EC1032">
        <w:rPr>
          <w:szCs w:val="24"/>
          <w:lang w:eastAsia="sl-SI"/>
        </w:rPr>
        <w:t>.</w:t>
      </w:r>
    </w:p>
    <w:p w14:paraId="38578865" w14:textId="77777777" w:rsidR="00A00863" w:rsidRPr="00EC1032" w:rsidRDefault="00A00863" w:rsidP="005B38D1">
      <w:pPr>
        <w:spacing w:line="160" w:lineRule="atLeast"/>
        <w:ind w:left="705" w:hanging="705"/>
        <w:rPr>
          <w:szCs w:val="24"/>
          <w:lang w:eastAsia="sl-SI"/>
        </w:rPr>
      </w:pPr>
      <w:r w:rsidRPr="00EC1032">
        <w:rPr>
          <w:szCs w:val="24"/>
          <w:lang w:eastAsia="sl-SI"/>
        </w:rPr>
        <w:t>11.</w:t>
      </w:r>
      <w:r w:rsidRPr="00EC1032">
        <w:rPr>
          <w:szCs w:val="24"/>
          <w:lang w:eastAsia="sl-SI"/>
        </w:rPr>
        <w:tab/>
      </w:r>
      <w:r w:rsidR="00641F5A" w:rsidRPr="00EC1032">
        <w:rPr>
          <w:szCs w:val="24"/>
          <w:lang w:eastAsia="sl-SI"/>
        </w:rPr>
        <w:t>Vpišemo številko dodatka (I, II ali III) k CITES, v katerem je vrsta navedena v času izdaje dovoljenja/potrdila.</w:t>
      </w:r>
    </w:p>
    <w:p w14:paraId="11184C7B" w14:textId="77777777" w:rsidR="00A00863" w:rsidRPr="00EC1032" w:rsidRDefault="00A00863" w:rsidP="005B38D1">
      <w:pPr>
        <w:spacing w:line="160" w:lineRule="atLeast"/>
        <w:ind w:left="705" w:hanging="705"/>
        <w:rPr>
          <w:szCs w:val="24"/>
          <w:lang w:eastAsia="sl-SI"/>
        </w:rPr>
      </w:pPr>
      <w:r w:rsidRPr="00EC1032">
        <w:rPr>
          <w:szCs w:val="24"/>
          <w:lang w:eastAsia="sl-SI"/>
        </w:rPr>
        <w:t xml:space="preserve">12. </w:t>
      </w:r>
      <w:r w:rsidRPr="00EC1032">
        <w:rPr>
          <w:szCs w:val="24"/>
          <w:lang w:eastAsia="sl-SI"/>
        </w:rPr>
        <w:tab/>
      </w:r>
      <w:r w:rsidR="002E544B" w:rsidRPr="00EC1032">
        <w:rPr>
          <w:szCs w:val="24"/>
          <w:lang w:eastAsia="sl-SI"/>
        </w:rPr>
        <w:t>Vpišemo črko priloge k Uredbi (ES) št. 338/97 (A, B ali C), v kateri je vrsta navedena v času izdaje dovoljenja/potrdila.</w:t>
      </w:r>
    </w:p>
    <w:p w14:paraId="6C3AD097" w14:textId="77777777" w:rsidR="00A00863" w:rsidRPr="00EC1032" w:rsidRDefault="00A00863" w:rsidP="005B38D1">
      <w:pPr>
        <w:spacing w:line="160" w:lineRule="atLeast"/>
        <w:rPr>
          <w:szCs w:val="24"/>
          <w:lang w:eastAsia="sl-SI"/>
        </w:rPr>
      </w:pPr>
      <w:r w:rsidRPr="00EC1032">
        <w:rPr>
          <w:szCs w:val="24"/>
          <w:lang w:eastAsia="sl-SI"/>
        </w:rPr>
        <w:t xml:space="preserve">13. </w:t>
      </w:r>
      <w:r w:rsidRPr="00EC1032">
        <w:rPr>
          <w:szCs w:val="24"/>
          <w:lang w:eastAsia="sl-SI"/>
        </w:rPr>
        <w:tab/>
      </w:r>
      <w:r w:rsidR="00B850EC" w:rsidRPr="00EC1032">
        <w:rPr>
          <w:szCs w:val="24"/>
          <w:lang w:eastAsia="sl-SI"/>
        </w:rPr>
        <w:t>Za navedbo vira uporabimo eno od naslednjih kod:</w:t>
      </w:r>
    </w:p>
    <w:p w14:paraId="27611CC1" w14:textId="77777777" w:rsidR="00A00863" w:rsidRPr="00EC1032" w:rsidRDefault="00A00863" w:rsidP="005B38D1">
      <w:pPr>
        <w:spacing w:line="160" w:lineRule="atLeast"/>
        <w:ind w:firstLine="708"/>
        <w:rPr>
          <w:szCs w:val="24"/>
          <w:lang w:eastAsia="sl-SI"/>
        </w:rPr>
      </w:pPr>
      <w:r w:rsidRPr="00EC1032">
        <w:rPr>
          <w:b/>
          <w:szCs w:val="24"/>
          <w:lang w:eastAsia="sl-SI"/>
        </w:rPr>
        <w:t>W</w:t>
      </w:r>
      <w:r w:rsidRPr="00EC1032">
        <w:rPr>
          <w:szCs w:val="24"/>
          <w:lang w:eastAsia="sl-SI"/>
        </w:rPr>
        <w:t xml:space="preserve"> - </w:t>
      </w:r>
      <w:r w:rsidR="001B0297" w:rsidRPr="00EC1032">
        <w:rPr>
          <w:szCs w:val="24"/>
          <w:lang w:eastAsia="sl-SI"/>
        </w:rPr>
        <w:t>osebki odvzeti iz narave</w:t>
      </w:r>
    </w:p>
    <w:p w14:paraId="5398E12B" w14:textId="77777777" w:rsidR="00A00863" w:rsidRPr="00EC1032" w:rsidRDefault="00A00863" w:rsidP="005B38D1">
      <w:pPr>
        <w:spacing w:line="160" w:lineRule="atLeast"/>
        <w:ind w:firstLine="708"/>
        <w:rPr>
          <w:szCs w:val="24"/>
          <w:lang w:eastAsia="sl-SI"/>
        </w:rPr>
      </w:pPr>
      <w:r w:rsidRPr="00EC1032">
        <w:rPr>
          <w:b/>
          <w:szCs w:val="24"/>
          <w:lang w:eastAsia="sl-SI"/>
        </w:rPr>
        <w:t>R</w:t>
      </w:r>
      <w:r w:rsidRPr="00EC1032">
        <w:rPr>
          <w:szCs w:val="24"/>
          <w:lang w:eastAsia="sl-SI"/>
        </w:rPr>
        <w:t xml:space="preserve"> - </w:t>
      </w:r>
      <w:r w:rsidR="001B0297" w:rsidRPr="00EC1032">
        <w:rPr>
          <w:szCs w:val="24"/>
          <w:lang w:eastAsia="sl-SI"/>
        </w:rPr>
        <w:t>osebki iz farmske gojitve</w:t>
      </w:r>
    </w:p>
    <w:p w14:paraId="2B030C48" w14:textId="77777777" w:rsidR="00A00863" w:rsidRPr="00EC1032" w:rsidRDefault="00A00863" w:rsidP="005B38D1">
      <w:pPr>
        <w:spacing w:line="160" w:lineRule="atLeast"/>
        <w:ind w:left="708"/>
        <w:rPr>
          <w:szCs w:val="24"/>
          <w:lang w:eastAsia="sl-SI"/>
        </w:rPr>
      </w:pPr>
      <w:r w:rsidRPr="00EC1032">
        <w:rPr>
          <w:b/>
          <w:szCs w:val="24"/>
          <w:lang w:eastAsia="sl-SI"/>
        </w:rPr>
        <w:t>D</w:t>
      </w:r>
      <w:r w:rsidRPr="00EC1032">
        <w:rPr>
          <w:szCs w:val="24"/>
          <w:lang w:eastAsia="sl-SI"/>
        </w:rPr>
        <w:t xml:space="preserve"> - </w:t>
      </w:r>
      <w:r w:rsidR="00767E4D" w:rsidRPr="00EC1032">
        <w:rPr>
          <w:szCs w:val="24"/>
          <w:lang w:eastAsia="sl-SI"/>
        </w:rPr>
        <w:t>živali vrst iz Priloge A, ki so gojene v ujetništvu v komercialne namene, in rastline vrst iz Priloge A, ki so umetno razmnožene v komercialne namene skladno s poglavjem XIII Ured</w:t>
      </w:r>
      <w:r w:rsidR="000A4530" w:rsidRPr="00EC1032">
        <w:rPr>
          <w:szCs w:val="24"/>
          <w:lang w:eastAsia="sl-SI"/>
        </w:rPr>
        <w:t>be (ES) št. 865/2006</w:t>
      </w:r>
      <w:r w:rsidR="00767E4D" w:rsidRPr="00EC1032">
        <w:rPr>
          <w:szCs w:val="24"/>
          <w:lang w:eastAsia="sl-SI"/>
        </w:rPr>
        <w:t>, ter njihovi deli in izdelki iz njih</w:t>
      </w:r>
    </w:p>
    <w:p w14:paraId="2EFB01F2" w14:textId="77777777" w:rsidR="00A00863" w:rsidRPr="00EC1032" w:rsidRDefault="00A00863" w:rsidP="005B38D1">
      <w:pPr>
        <w:spacing w:line="160" w:lineRule="atLeast"/>
        <w:ind w:left="708"/>
        <w:rPr>
          <w:szCs w:val="24"/>
          <w:lang w:eastAsia="sl-SI"/>
        </w:rPr>
      </w:pPr>
      <w:r w:rsidRPr="00EC1032">
        <w:rPr>
          <w:b/>
          <w:szCs w:val="24"/>
          <w:lang w:eastAsia="sl-SI"/>
        </w:rPr>
        <w:t>A</w:t>
      </w:r>
      <w:r w:rsidRPr="00EC1032">
        <w:rPr>
          <w:szCs w:val="24"/>
          <w:lang w:eastAsia="sl-SI"/>
        </w:rPr>
        <w:t xml:space="preserve"> - </w:t>
      </w:r>
      <w:r w:rsidR="00097BEF" w:rsidRPr="00EC1032">
        <w:rPr>
          <w:szCs w:val="24"/>
          <w:lang w:eastAsia="sl-SI"/>
        </w:rPr>
        <w:t>rastline vrst iz Priloge A, ki so umetno razmnožene v nekomercialne namene, in rastline vrst iz Prilog B in C, ki so umetno razmnožene skladno s po</w:t>
      </w:r>
      <w:r w:rsidR="000A4530" w:rsidRPr="00EC1032">
        <w:rPr>
          <w:szCs w:val="24"/>
          <w:lang w:eastAsia="sl-SI"/>
        </w:rPr>
        <w:t>glavjem XIII Uredbe (ES) št. 865/2006</w:t>
      </w:r>
      <w:r w:rsidR="00097BEF" w:rsidRPr="00EC1032">
        <w:rPr>
          <w:szCs w:val="24"/>
          <w:lang w:eastAsia="sl-SI"/>
        </w:rPr>
        <w:t>, ter njihovi deli in izdelki iz njih</w:t>
      </w:r>
    </w:p>
    <w:p w14:paraId="6E8667F2" w14:textId="77777777" w:rsidR="00A00863" w:rsidRPr="00EC1032" w:rsidRDefault="00A00863" w:rsidP="005B38D1">
      <w:pPr>
        <w:spacing w:line="160" w:lineRule="atLeast"/>
        <w:ind w:left="708"/>
        <w:rPr>
          <w:szCs w:val="24"/>
          <w:lang w:eastAsia="sl-SI"/>
        </w:rPr>
      </w:pPr>
      <w:r w:rsidRPr="00EC1032">
        <w:rPr>
          <w:b/>
          <w:szCs w:val="24"/>
          <w:lang w:eastAsia="sl-SI"/>
        </w:rPr>
        <w:t>C</w:t>
      </w:r>
      <w:r w:rsidRPr="00EC1032">
        <w:rPr>
          <w:szCs w:val="24"/>
          <w:lang w:eastAsia="sl-SI"/>
        </w:rPr>
        <w:t xml:space="preserve"> - </w:t>
      </w:r>
      <w:r w:rsidR="00A66310" w:rsidRPr="00EC1032">
        <w:rPr>
          <w:szCs w:val="24"/>
          <w:lang w:eastAsia="sl-SI"/>
        </w:rPr>
        <w:t>živali vrst iz Priloge A, ki so gojene v ujetništvu v nekomercialne namene, in živali vrst iz Prilog B in C, ki so gojene v ujetništvu skladno s po</w:t>
      </w:r>
      <w:r w:rsidR="000A4530" w:rsidRPr="00EC1032">
        <w:rPr>
          <w:szCs w:val="24"/>
          <w:lang w:eastAsia="sl-SI"/>
        </w:rPr>
        <w:t>glavjem XIII Uredbe (ES) št. 865/2006</w:t>
      </w:r>
      <w:r w:rsidR="00A66310" w:rsidRPr="00EC1032">
        <w:rPr>
          <w:szCs w:val="24"/>
          <w:lang w:eastAsia="sl-SI"/>
        </w:rPr>
        <w:t>, ter njihovi deli in izdelki iz njih</w:t>
      </w:r>
    </w:p>
    <w:p w14:paraId="354E903F" w14:textId="77777777" w:rsidR="00A00863" w:rsidRPr="00EC1032" w:rsidRDefault="00A00863" w:rsidP="005B38D1">
      <w:pPr>
        <w:spacing w:line="160" w:lineRule="atLeast"/>
        <w:ind w:left="708"/>
        <w:rPr>
          <w:szCs w:val="24"/>
          <w:lang w:eastAsia="sl-SI"/>
        </w:rPr>
      </w:pPr>
      <w:r w:rsidRPr="00EC1032">
        <w:rPr>
          <w:b/>
          <w:szCs w:val="24"/>
          <w:lang w:eastAsia="sl-SI"/>
        </w:rPr>
        <w:t>F</w:t>
      </w:r>
      <w:r w:rsidRPr="00EC1032">
        <w:rPr>
          <w:szCs w:val="24"/>
          <w:lang w:eastAsia="sl-SI"/>
        </w:rPr>
        <w:t xml:space="preserve"> - </w:t>
      </w:r>
      <w:r w:rsidR="00B50CD5" w:rsidRPr="00EC1032">
        <w:rPr>
          <w:szCs w:val="24"/>
          <w:lang w:eastAsia="sl-SI"/>
        </w:rPr>
        <w:t>v ujetništvu rojene živali, za katere merila iz p</w:t>
      </w:r>
      <w:r w:rsidR="00EC1032" w:rsidRPr="00EC1032">
        <w:rPr>
          <w:szCs w:val="24"/>
          <w:lang w:eastAsia="sl-SI"/>
        </w:rPr>
        <w:t>oglavja XIII Uredbe (ES) št. 865</w:t>
      </w:r>
      <w:r w:rsidR="000A4530" w:rsidRPr="00EC1032">
        <w:rPr>
          <w:szCs w:val="24"/>
          <w:lang w:eastAsia="sl-SI"/>
        </w:rPr>
        <w:t>/2006</w:t>
      </w:r>
      <w:r w:rsidR="00B50CD5" w:rsidRPr="00EC1032">
        <w:rPr>
          <w:szCs w:val="24"/>
          <w:lang w:eastAsia="sl-SI"/>
        </w:rPr>
        <w:t xml:space="preserve"> niso izpolnjena, ter njihovi deli in izdelki iz njih</w:t>
      </w:r>
    </w:p>
    <w:p w14:paraId="220098EE" w14:textId="77777777" w:rsidR="00CE0ACD" w:rsidRPr="00EC1032" w:rsidRDefault="00CE0ACD" w:rsidP="005B38D1">
      <w:pPr>
        <w:spacing w:line="160" w:lineRule="atLeast"/>
        <w:ind w:firstLine="708"/>
        <w:rPr>
          <w:szCs w:val="24"/>
          <w:vertAlign w:val="superscript"/>
          <w:lang w:eastAsia="sl-SI"/>
        </w:rPr>
      </w:pPr>
      <w:r w:rsidRPr="00EC1032">
        <w:rPr>
          <w:b/>
          <w:szCs w:val="24"/>
          <w:lang w:eastAsia="sl-SI"/>
        </w:rPr>
        <w:t>I</w:t>
      </w:r>
      <w:r w:rsidRPr="00EC1032">
        <w:rPr>
          <w:szCs w:val="24"/>
          <w:lang w:eastAsia="sl-SI"/>
        </w:rPr>
        <w:t xml:space="preserve"> - </w:t>
      </w:r>
      <w:r w:rsidR="00B50CD5" w:rsidRPr="00EC1032">
        <w:rPr>
          <w:szCs w:val="24"/>
          <w:lang w:eastAsia="sl-SI"/>
        </w:rPr>
        <w:t xml:space="preserve">odvzeti ali zaseženi osebki </w:t>
      </w:r>
      <w:r w:rsidR="00EC1032">
        <w:rPr>
          <w:szCs w:val="24"/>
          <w:vertAlign w:val="superscript"/>
          <w:lang w:eastAsia="sl-SI"/>
        </w:rPr>
        <w:t>*</w:t>
      </w:r>
    </w:p>
    <w:p w14:paraId="0BF7A659" w14:textId="77777777" w:rsidR="00CE0ACD" w:rsidRPr="00EC1032" w:rsidRDefault="00CE0ACD" w:rsidP="005B38D1">
      <w:pPr>
        <w:spacing w:line="160" w:lineRule="atLeast"/>
        <w:ind w:firstLine="708"/>
        <w:rPr>
          <w:szCs w:val="24"/>
          <w:vertAlign w:val="superscript"/>
          <w:lang w:eastAsia="sl-SI"/>
        </w:rPr>
      </w:pPr>
      <w:r w:rsidRPr="00EC1032">
        <w:rPr>
          <w:b/>
          <w:szCs w:val="24"/>
          <w:lang w:eastAsia="sl-SI"/>
        </w:rPr>
        <w:t>O</w:t>
      </w:r>
      <w:r w:rsidRPr="00EC1032">
        <w:rPr>
          <w:szCs w:val="24"/>
          <w:lang w:eastAsia="sl-SI"/>
        </w:rPr>
        <w:t xml:space="preserve"> - </w:t>
      </w:r>
      <w:proofErr w:type="spellStart"/>
      <w:r w:rsidR="00B50CD5" w:rsidRPr="00EC1032">
        <w:rPr>
          <w:szCs w:val="24"/>
          <w:lang w:eastAsia="sl-SI"/>
        </w:rPr>
        <w:t>predkonvencijski</w:t>
      </w:r>
      <w:proofErr w:type="spellEnd"/>
      <w:r w:rsidR="00B50CD5" w:rsidRPr="00EC1032">
        <w:rPr>
          <w:szCs w:val="24"/>
          <w:lang w:eastAsia="sl-SI"/>
        </w:rPr>
        <w:t xml:space="preserve"> osebki </w:t>
      </w:r>
      <w:r w:rsidR="00EC1032">
        <w:rPr>
          <w:szCs w:val="24"/>
          <w:vertAlign w:val="superscript"/>
          <w:lang w:eastAsia="sl-SI"/>
        </w:rPr>
        <w:t>*</w:t>
      </w:r>
    </w:p>
    <w:p w14:paraId="36B56D8A" w14:textId="77777777" w:rsidR="00A00863" w:rsidRPr="00EC1032" w:rsidRDefault="00A00863" w:rsidP="005B38D1">
      <w:pPr>
        <w:spacing w:line="160" w:lineRule="atLeast"/>
        <w:ind w:left="708"/>
        <w:rPr>
          <w:szCs w:val="24"/>
          <w:lang w:eastAsia="sl-SI"/>
        </w:rPr>
      </w:pPr>
      <w:r w:rsidRPr="00EC1032">
        <w:rPr>
          <w:b/>
          <w:szCs w:val="24"/>
          <w:lang w:eastAsia="sl-SI"/>
        </w:rPr>
        <w:t>U</w:t>
      </w:r>
      <w:r w:rsidRPr="00EC1032">
        <w:rPr>
          <w:szCs w:val="24"/>
          <w:lang w:eastAsia="sl-SI"/>
        </w:rPr>
        <w:t xml:space="preserve"> - </w:t>
      </w:r>
      <w:r w:rsidR="00082886" w:rsidRPr="00EC1032">
        <w:rPr>
          <w:szCs w:val="24"/>
          <w:lang w:eastAsia="sl-SI"/>
        </w:rPr>
        <w:t>vir ni znan (mora biti utemeljeno)</w:t>
      </w:r>
    </w:p>
    <w:p w14:paraId="69380C5D" w14:textId="77777777" w:rsidR="00A00863" w:rsidRPr="00EC1032" w:rsidRDefault="00A00863" w:rsidP="005B38D1">
      <w:pPr>
        <w:spacing w:line="160" w:lineRule="atLeast"/>
        <w:rPr>
          <w:szCs w:val="24"/>
          <w:lang w:eastAsia="sl-SI"/>
        </w:rPr>
      </w:pPr>
      <w:r w:rsidRPr="00EC1032">
        <w:rPr>
          <w:szCs w:val="24"/>
          <w:lang w:eastAsia="sl-SI"/>
        </w:rPr>
        <w:t xml:space="preserve">14. </w:t>
      </w:r>
      <w:r w:rsidRPr="00EC1032">
        <w:rPr>
          <w:szCs w:val="24"/>
          <w:lang w:eastAsia="sl-SI"/>
        </w:rPr>
        <w:tab/>
      </w:r>
      <w:r w:rsidR="00082886" w:rsidRPr="00EC1032">
        <w:rPr>
          <w:szCs w:val="24"/>
          <w:lang w:eastAsia="sl-SI"/>
        </w:rPr>
        <w:t>Za navedbo namena (ponovnega) izvoza/uvoza osebkov uporabimo eno od naslednjih kod:</w:t>
      </w:r>
    </w:p>
    <w:p w14:paraId="263F45B2" w14:textId="77777777" w:rsidR="00A00863" w:rsidRDefault="00A00863" w:rsidP="005B38D1">
      <w:pPr>
        <w:spacing w:line="160" w:lineRule="atLeast"/>
        <w:ind w:left="705" w:firstLine="3"/>
        <w:rPr>
          <w:szCs w:val="24"/>
          <w:lang w:eastAsia="sl-SI"/>
        </w:rPr>
      </w:pPr>
      <w:r w:rsidRPr="00EC1032">
        <w:rPr>
          <w:b/>
          <w:szCs w:val="24"/>
          <w:lang w:eastAsia="sl-SI"/>
        </w:rPr>
        <w:t>B</w:t>
      </w:r>
      <w:r w:rsidRPr="00EC1032">
        <w:rPr>
          <w:szCs w:val="24"/>
          <w:lang w:eastAsia="sl-SI"/>
        </w:rPr>
        <w:t xml:space="preserve"> </w:t>
      </w:r>
      <w:r w:rsidR="006767CC" w:rsidRPr="00EC1032">
        <w:rPr>
          <w:szCs w:val="24"/>
          <w:lang w:eastAsia="sl-SI"/>
        </w:rPr>
        <w:t>gojitev v ujetništvu ali umetno razmnoževanje</w:t>
      </w:r>
      <w:r w:rsidRPr="00EC1032">
        <w:rPr>
          <w:szCs w:val="24"/>
          <w:lang w:eastAsia="sl-SI"/>
        </w:rPr>
        <w:t xml:space="preserve">, </w:t>
      </w:r>
      <w:r w:rsidRPr="00EC1032">
        <w:rPr>
          <w:b/>
          <w:szCs w:val="24"/>
          <w:lang w:eastAsia="sl-SI"/>
        </w:rPr>
        <w:t>E</w:t>
      </w:r>
      <w:r w:rsidRPr="00EC1032">
        <w:rPr>
          <w:szCs w:val="24"/>
          <w:lang w:eastAsia="sl-SI"/>
        </w:rPr>
        <w:t xml:space="preserve"> izobraževanje, </w:t>
      </w:r>
      <w:r w:rsidRPr="00EC1032">
        <w:rPr>
          <w:b/>
          <w:szCs w:val="24"/>
          <w:lang w:eastAsia="sl-SI"/>
        </w:rPr>
        <w:t>G</w:t>
      </w:r>
      <w:r w:rsidRPr="00EC1032">
        <w:rPr>
          <w:szCs w:val="24"/>
          <w:lang w:eastAsia="sl-SI"/>
        </w:rPr>
        <w:t xml:space="preserve"> botanični vrtovi, </w:t>
      </w:r>
      <w:r w:rsidRPr="00EC1032">
        <w:rPr>
          <w:b/>
          <w:szCs w:val="24"/>
          <w:lang w:eastAsia="sl-SI"/>
        </w:rPr>
        <w:t>H</w:t>
      </w:r>
      <w:r w:rsidRPr="00EC1032">
        <w:rPr>
          <w:szCs w:val="24"/>
          <w:lang w:eastAsia="sl-SI"/>
        </w:rPr>
        <w:t xml:space="preserve"> lovske trofeje, </w:t>
      </w:r>
      <w:r w:rsidRPr="00EC1032">
        <w:rPr>
          <w:b/>
          <w:szCs w:val="24"/>
          <w:lang w:eastAsia="sl-SI"/>
        </w:rPr>
        <w:t>L</w:t>
      </w:r>
      <w:r w:rsidRPr="00EC1032">
        <w:rPr>
          <w:szCs w:val="24"/>
          <w:lang w:eastAsia="sl-SI"/>
        </w:rPr>
        <w:t xml:space="preserve"> </w:t>
      </w:r>
      <w:r w:rsidR="006767CC" w:rsidRPr="00EC1032">
        <w:rPr>
          <w:szCs w:val="24"/>
          <w:lang w:eastAsia="sl-SI"/>
        </w:rPr>
        <w:t>uveljavljanje / sodni nameni / forenzični nameni</w:t>
      </w:r>
      <w:r w:rsidRPr="00EC1032">
        <w:rPr>
          <w:szCs w:val="24"/>
          <w:lang w:eastAsia="sl-SI"/>
        </w:rPr>
        <w:t xml:space="preserve">, </w:t>
      </w:r>
      <w:r w:rsidRPr="00EC1032">
        <w:rPr>
          <w:b/>
          <w:szCs w:val="24"/>
          <w:lang w:eastAsia="sl-SI"/>
        </w:rPr>
        <w:t>M</w:t>
      </w:r>
      <w:r w:rsidRPr="00EC1032">
        <w:rPr>
          <w:szCs w:val="24"/>
          <w:lang w:eastAsia="sl-SI"/>
        </w:rPr>
        <w:t xml:space="preserve"> </w:t>
      </w:r>
      <w:r w:rsidR="00E251F5" w:rsidRPr="00EC1032">
        <w:rPr>
          <w:szCs w:val="24"/>
          <w:lang w:eastAsia="sl-SI"/>
        </w:rPr>
        <w:t>medicinski nameni (tudi biomedicinske raziskave)</w:t>
      </w:r>
      <w:r w:rsidRPr="00EC1032">
        <w:rPr>
          <w:szCs w:val="24"/>
          <w:lang w:eastAsia="sl-SI"/>
        </w:rPr>
        <w:t xml:space="preserve">, </w:t>
      </w:r>
      <w:r w:rsidRPr="00EC1032">
        <w:rPr>
          <w:b/>
          <w:szCs w:val="24"/>
          <w:lang w:eastAsia="sl-SI"/>
        </w:rPr>
        <w:t>N</w:t>
      </w:r>
      <w:r w:rsidRPr="00EC1032">
        <w:rPr>
          <w:szCs w:val="24"/>
          <w:lang w:eastAsia="sl-SI"/>
        </w:rPr>
        <w:t xml:space="preserve"> ponovna naselitev ali naselitev v naravo, </w:t>
      </w:r>
      <w:r w:rsidRPr="00EC1032">
        <w:rPr>
          <w:b/>
          <w:szCs w:val="24"/>
          <w:lang w:eastAsia="sl-SI"/>
        </w:rPr>
        <w:t>P</w:t>
      </w:r>
      <w:r w:rsidRPr="00EC1032">
        <w:rPr>
          <w:szCs w:val="24"/>
          <w:lang w:eastAsia="sl-SI"/>
        </w:rPr>
        <w:t xml:space="preserve"> osebni nameni, </w:t>
      </w:r>
      <w:r w:rsidRPr="00EC1032">
        <w:rPr>
          <w:b/>
          <w:szCs w:val="24"/>
          <w:lang w:eastAsia="sl-SI"/>
        </w:rPr>
        <w:t>Q</w:t>
      </w:r>
      <w:r w:rsidRPr="00EC1032">
        <w:rPr>
          <w:szCs w:val="24"/>
          <w:lang w:eastAsia="sl-SI"/>
        </w:rPr>
        <w:t xml:space="preserve"> cirkusi in potujoče razstave, </w:t>
      </w:r>
      <w:r w:rsidRPr="00EC1032">
        <w:rPr>
          <w:b/>
          <w:szCs w:val="24"/>
          <w:lang w:eastAsia="sl-SI"/>
        </w:rPr>
        <w:t>S</w:t>
      </w:r>
      <w:r w:rsidRPr="00EC1032">
        <w:rPr>
          <w:szCs w:val="24"/>
          <w:lang w:eastAsia="sl-SI"/>
        </w:rPr>
        <w:t xml:space="preserve"> znanstveni nameni, </w:t>
      </w:r>
      <w:r w:rsidRPr="00EC1032">
        <w:rPr>
          <w:b/>
          <w:szCs w:val="24"/>
          <w:lang w:eastAsia="sl-SI"/>
        </w:rPr>
        <w:t>T</w:t>
      </w:r>
      <w:r w:rsidRPr="00EC1032">
        <w:rPr>
          <w:szCs w:val="24"/>
          <w:lang w:eastAsia="sl-SI"/>
        </w:rPr>
        <w:t xml:space="preserve"> komercialni nameni, </w:t>
      </w:r>
      <w:r w:rsidRPr="00EC1032">
        <w:rPr>
          <w:b/>
          <w:szCs w:val="24"/>
          <w:lang w:eastAsia="sl-SI"/>
        </w:rPr>
        <w:t>Z</w:t>
      </w:r>
      <w:r w:rsidRPr="00EC1032">
        <w:rPr>
          <w:szCs w:val="24"/>
          <w:lang w:eastAsia="sl-SI"/>
        </w:rPr>
        <w:t xml:space="preserve"> živalski vrtovi.</w:t>
      </w:r>
    </w:p>
    <w:p w14:paraId="64618572" w14:textId="77777777" w:rsidR="00A00863" w:rsidRPr="00EC1032" w:rsidRDefault="00A00863" w:rsidP="005B38D1">
      <w:pPr>
        <w:spacing w:line="160" w:lineRule="atLeast"/>
        <w:ind w:left="1416" w:hanging="1410"/>
        <w:rPr>
          <w:szCs w:val="24"/>
          <w:lang w:eastAsia="sl-SI"/>
        </w:rPr>
      </w:pPr>
      <w:r w:rsidRPr="00EC1032">
        <w:rPr>
          <w:szCs w:val="24"/>
          <w:lang w:eastAsia="sl-SI"/>
        </w:rPr>
        <w:t xml:space="preserve">15 do 17. </w:t>
      </w:r>
      <w:r w:rsidRPr="00EC1032">
        <w:rPr>
          <w:szCs w:val="24"/>
          <w:lang w:eastAsia="sl-SI"/>
        </w:rPr>
        <w:tab/>
      </w:r>
      <w:r w:rsidR="00E251F5" w:rsidRPr="00EC1032">
        <w:rPr>
          <w:szCs w:val="24"/>
          <w:lang w:eastAsia="sl-SI"/>
        </w:rPr>
        <w:t xml:space="preserve">Država izvora je država, v kateri so bili osebki odvzeti iz narave, rojeni in gojeni v ujetništvu ali umetno razmnoženi. Kadar je to tretja država, je treba v okenci 16 in 17 vpisati podatke o ustreznem dovoljenju. Kadar se osebki s poreklom iz države članice </w:t>
      </w:r>
      <w:r w:rsidR="00E251F5" w:rsidRPr="00EC1032">
        <w:rPr>
          <w:szCs w:val="24"/>
          <w:lang w:eastAsia="sl-SI"/>
        </w:rPr>
        <w:lastRenderedPageBreak/>
        <w:t>Skupnosti izvažajo iz druge države članice, je treba v okencu 15 navesti le ime države članice izvora.</w:t>
      </w:r>
    </w:p>
    <w:p w14:paraId="0C4940B5" w14:textId="77777777" w:rsidR="00A00863" w:rsidRPr="00EC1032" w:rsidRDefault="00A00863" w:rsidP="005B38D1">
      <w:pPr>
        <w:spacing w:line="160" w:lineRule="atLeast"/>
        <w:ind w:left="1410" w:hanging="1410"/>
        <w:rPr>
          <w:szCs w:val="24"/>
          <w:lang w:eastAsia="sl-SI"/>
        </w:rPr>
      </w:pPr>
      <w:r w:rsidRPr="00EC1032">
        <w:rPr>
          <w:szCs w:val="24"/>
          <w:lang w:eastAsia="sl-SI"/>
        </w:rPr>
        <w:t xml:space="preserve">18 do 20. </w:t>
      </w:r>
      <w:r w:rsidRPr="00EC1032">
        <w:rPr>
          <w:szCs w:val="24"/>
          <w:lang w:eastAsia="sl-SI"/>
        </w:rPr>
        <w:tab/>
      </w:r>
      <w:r w:rsidR="0021204E" w:rsidRPr="00EC1032">
        <w:rPr>
          <w:szCs w:val="24"/>
          <w:lang w:eastAsia="sl-SI"/>
        </w:rPr>
        <w:t>Država zadnjega ponovnega izvoza je pri potrdilu o ponovnem izvozu tretja država ponovnega izvoza, iz katere so bili osebki uvoženi, preden so se ponovno izvozili iz Skupnosti. Pri uvoznem dovoljenju je to tretja država ponovnega izvoza, iz katere se bodo osebki uvozili. V okencih 19 in 20 morajo biti podatki o ustreznem potrdilu o ponovnem izvozu.</w:t>
      </w:r>
    </w:p>
    <w:p w14:paraId="71440E82" w14:textId="77777777" w:rsidR="00A00863" w:rsidRPr="00EC1032" w:rsidRDefault="00A00863" w:rsidP="005B38D1">
      <w:pPr>
        <w:spacing w:line="160" w:lineRule="atLeast"/>
        <w:ind w:left="1410" w:hanging="1410"/>
        <w:rPr>
          <w:szCs w:val="24"/>
          <w:lang w:eastAsia="sl-SI"/>
        </w:rPr>
      </w:pPr>
      <w:r w:rsidRPr="00EC1032">
        <w:rPr>
          <w:szCs w:val="24"/>
          <w:lang w:eastAsia="sl-SI"/>
        </w:rPr>
        <w:t xml:space="preserve">21. </w:t>
      </w:r>
      <w:r w:rsidRPr="00EC1032">
        <w:rPr>
          <w:szCs w:val="24"/>
          <w:lang w:eastAsia="sl-SI"/>
        </w:rPr>
        <w:tab/>
      </w:r>
      <w:r w:rsidR="00EC1032">
        <w:rPr>
          <w:szCs w:val="24"/>
          <w:lang w:eastAsia="sl-SI"/>
        </w:rPr>
        <w:tab/>
      </w:r>
      <w:r w:rsidR="00411855" w:rsidRPr="00EC1032">
        <w:rPr>
          <w:szCs w:val="24"/>
          <w:lang w:eastAsia="sl-SI"/>
        </w:rPr>
        <w:t>Znanstveno ime mora biti skladno s standardnimi viri nomenklature iz Priloge VIII k Uredbi (ES) št</w:t>
      </w:r>
      <w:r w:rsidR="000A4530" w:rsidRPr="00EC1032">
        <w:rPr>
          <w:szCs w:val="24"/>
          <w:lang w:eastAsia="sl-SI"/>
        </w:rPr>
        <w:t>. 865/2006</w:t>
      </w:r>
      <w:r w:rsidR="00411855" w:rsidRPr="00EC1032">
        <w:rPr>
          <w:szCs w:val="24"/>
          <w:lang w:eastAsia="sl-SI"/>
        </w:rPr>
        <w:t>.</w:t>
      </w:r>
    </w:p>
    <w:p w14:paraId="5AED7840" w14:textId="77777777" w:rsidR="00A00863" w:rsidRPr="00EC1032" w:rsidRDefault="00A00863" w:rsidP="005B38D1">
      <w:pPr>
        <w:spacing w:line="160" w:lineRule="atLeast"/>
        <w:rPr>
          <w:szCs w:val="24"/>
          <w:lang w:eastAsia="sl-SI"/>
        </w:rPr>
      </w:pPr>
      <w:r w:rsidRPr="00EC1032">
        <w:rPr>
          <w:szCs w:val="24"/>
          <w:lang w:eastAsia="sl-SI"/>
        </w:rPr>
        <w:t>23 do 25.</w:t>
      </w:r>
      <w:r w:rsidRPr="00EC1032">
        <w:rPr>
          <w:szCs w:val="24"/>
          <w:lang w:eastAsia="sl-SI"/>
        </w:rPr>
        <w:tab/>
      </w:r>
      <w:r w:rsidR="008F6D63" w:rsidRPr="00EC1032">
        <w:rPr>
          <w:szCs w:val="24"/>
          <w:lang w:eastAsia="sl-SI"/>
        </w:rPr>
        <w:t>Izpolni uradna oseba.</w:t>
      </w:r>
    </w:p>
    <w:p w14:paraId="632B2629" w14:textId="77777777" w:rsidR="00A00863" w:rsidRPr="00EC1032" w:rsidRDefault="00EC1032" w:rsidP="005B38D1">
      <w:pPr>
        <w:spacing w:line="160" w:lineRule="atLeast"/>
        <w:ind w:left="1410" w:hanging="1410"/>
        <w:rPr>
          <w:szCs w:val="24"/>
          <w:lang w:eastAsia="sl-SI"/>
        </w:rPr>
      </w:pPr>
      <w:r>
        <w:rPr>
          <w:szCs w:val="24"/>
          <w:lang w:eastAsia="sl-SI"/>
        </w:rPr>
        <w:t>26.</w:t>
      </w:r>
      <w:r>
        <w:rPr>
          <w:szCs w:val="24"/>
          <w:lang w:eastAsia="sl-SI"/>
        </w:rPr>
        <w:tab/>
      </w:r>
      <w:r>
        <w:rPr>
          <w:szCs w:val="24"/>
          <w:lang w:eastAsia="sl-SI"/>
        </w:rPr>
        <w:tab/>
      </w:r>
      <w:r w:rsidR="004D6A53" w:rsidRPr="00EC1032">
        <w:rPr>
          <w:szCs w:val="24"/>
          <w:lang w:eastAsia="sl-SI"/>
        </w:rPr>
        <w:t>Uvoznik/(ponovni) izvoznik ali njegov zastopnik mora, kadar je to primerno, navesti številko ladijskega ali letalskega tovornega lista.</w:t>
      </w:r>
    </w:p>
    <w:p w14:paraId="0963D6DA" w14:textId="77777777" w:rsidR="00A00863" w:rsidRPr="00EC1032" w:rsidRDefault="00A00863" w:rsidP="005B38D1">
      <w:pPr>
        <w:spacing w:line="160" w:lineRule="atLeast"/>
        <w:ind w:left="1410" w:hanging="1410"/>
        <w:rPr>
          <w:szCs w:val="24"/>
          <w:lang w:eastAsia="sl-SI"/>
        </w:rPr>
      </w:pPr>
      <w:r w:rsidRPr="00EC1032">
        <w:rPr>
          <w:szCs w:val="24"/>
          <w:lang w:eastAsia="sl-SI"/>
        </w:rPr>
        <w:t xml:space="preserve">27. </w:t>
      </w:r>
      <w:r w:rsidRPr="00EC1032">
        <w:rPr>
          <w:szCs w:val="24"/>
          <w:lang w:eastAsia="sl-SI"/>
        </w:rPr>
        <w:tab/>
      </w:r>
      <w:r w:rsidR="00EC1032">
        <w:rPr>
          <w:szCs w:val="24"/>
          <w:lang w:eastAsia="sl-SI"/>
        </w:rPr>
        <w:tab/>
      </w:r>
      <w:r w:rsidR="003A3571" w:rsidRPr="00EC1032">
        <w:rPr>
          <w:szCs w:val="24"/>
          <w:lang w:eastAsia="sl-SI"/>
        </w:rPr>
        <w:t>Izpolni carinski urad na kraju vnosa v Skupnost ali na kraju (ponovnega) izvoza. Pri vnosu je treba izvirnik (obrazec 1) vrniti upravnemu organu zadevne države članice, kopijo za imetnika (obrazec 2) pa uvozniku. Pri (ponovnem) izvozu je kopijo, ki jo carina vrača organu izdajatelju (obrazec 3), treba vrniti upravnemu organu zadevne države članice, izvirnik (obrazec 1) in kopijo za imetnika (obrazec 2) pa (ponovnemu) izvozniku.</w:t>
      </w:r>
    </w:p>
    <w:p w14:paraId="56362882" w14:textId="77777777" w:rsidR="00A00863" w:rsidRDefault="00EC1032" w:rsidP="005B38D1">
      <w:pPr>
        <w:spacing w:before="240" w:line="160" w:lineRule="atLeast"/>
        <w:rPr>
          <w:szCs w:val="24"/>
          <w:lang w:eastAsia="sl-SI"/>
        </w:rPr>
      </w:pPr>
      <w:r>
        <w:rPr>
          <w:szCs w:val="24"/>
          <w:lang w:eastAsia="sl-SI"/>
        </w:rPr>
        <w:t>*</w:t>
      </w:r>
      <w:r>
        <w:rPr>
          <w:szCs w:val="24"/>
          <w:lang w:eastAsia="sl-SI"/>
        </w:rPr>
        <w:tab/>
      </w:r>
      <w:r w:rsidR="00E24A0C" w:rsidRPr="00EC1032">
        <w:rPr>
          <w:szCs w:val="24"/>
          <w:lang w:eastAsia="sl-SI"/>
        </w:rPr>
        <w:t>Se uporablja le skupaj s še drugo kodo vira.</w:t>
      </w:r>
    </w:p>
    <w:p w14:paraId="76BCEFB8" w14:textId="77777777" w:rsidR="005B38D1" w:rsidRDefault="00E7118B" w:rsidP="005B38D1">
      <w:pPr>
        <w:autoSpaceDE w:val="0"/>
        <w:autoSpaceDN w:val="0"/>
        <w:adjustRightInd w:val="0"/>
        <w:spacing w:before="240"/>
        <w:rPr>
          <w:rFonts w:ascii="Times-Bold" w:hAnsi="Times-Bold" w:cs="Times-Bold"/>
          <w:b/>
          <w:bCs/>
          <w:color w:val="000000"/>
          <w:szCs w:val="24"/>
          <w:lang w:eastAsia="sl-SI"/>
        </w:rPr>
      </w:pPr>
      <w:r>
        <w:rPr>
          <w:rFonts w:ascii="Times-Bold" w:hAnsi="Times-Bold" w:cs="Times-Bold"/>
          <w:b/>
          <w:bCs/>
          <w:color w:val="000000"/>
          <w:szCs w:val="24"/>
          <w:lang w:eastAsia="sl-SI"/>
        </w:rPr>
        <w:t xml:space="preserve">Upravna taksa </w:t>
      </w:r>
    </w:p>
    <w:p w14:paraId="494566A5" w14:textId="538F3105" w:rsidR="00E7118B" w:rsidRDefault="00E7118B" w:rsidP="005B38D1">
      <w:pPr>
        <w:autoSpaceDE w:val="0"/>
        <w:autoSpaceDN w:val="0"/>
        <w:adjustRightInd w:val="0"/>
        <w:spacing w:before="240"/>
        <w:rPr>
          <w:rFonts w:ascii="Times-Roman" w:hAnsi="Times-Roman" w:cs="Times-Roman"/>
          <w:color w:val="000000"/>
          <w:szCs w:val="24"/>
          <w:lang w:eastAsia="sl-SI"/>
        </w:rPr>
      </w:pPr>
      <w:r>
        <w:rPr>
          <w:rFonts w:ascii="Times-Roman" w:hAnsi="Times-Roman" w:cs="Times-Roman"/>
          <w:color w:val="000000"/>
          <w:szCs w:val="24"/>
          <w:lang w:eastAsia="sl-SI"/>
        </w:rPr>
        <w:t xml:space="preserve">Za vlogo in izdajo dovoljenja ali potrdila se po tarifnih številkah 1 in 3 taksne tarife Zakona o upravnih taksah (Uradni list </w:t>
      </w:r>
      <w:r w:rsidR="006D223B" w:rsidRPr="006D223B">
        <w:rPr>
          <w:rFonts w:ascii="Times-Roman" w:hAnsi="Times-Roman" w:cs="Times-Roman"/>
          <w:color w:val="000000"/>
          <w:szCs w:val="24"/>
          <w:lang w:eastAsia="sl-SI"/>
        </w:rPr>
        <w:t xml:space="preserve">RS, št. </w:t>
      </w:r>
      <w:hyperlink r:id="rId5" w:history="1">
        <w:r w:rsidR="006D223B" w:rsidRPr="006D223B">
          <w:rPr>
            <w:rFonts w:ascii="Times-Roman" w:hAnsi="Times-Roman" w:cs="Times-Roman"/>
            <w:color w:val="000000"/>
            <w:szCs w:val="24"/>
            <w:lang w:eastAsia="sl-SI"/>
          </w:rPr>
          <w:t>106/10</w:t>
        </w:r>
      </w:hyperlink>
      <w:r w:rsidR="006D223B" w:rsidRPr="006D223B">
        <w:rPr>
          <w:rFonts w:ascii="Times-Roman" w:hAnsi="Times-Roman" w:cs="Times-Roman"/>
          <w:color w:val="000000"/>
          <w:szCs w:val="24"/>
          <w:lang w:eastAsia="sl-SI"/>
        </w:rPr>
        <w:t xml:space="preserve"> – UPB, </w:t>
      </w:r>
      <w:hyperlink r:id="rId6" w:history="1">
        <w:r w:rsidR="006D223B" w:rsidRPr="006D223B">
          <w:rPr>
            <w:rFonts w:ascii="Times-Roman" w:hAnsi="Times-Roman" w:cs="Times-Roman"/>
            <w:color w:val="000000"/>
            <w:szCs w:val="24"/>
            <w:lang w:eastAsia="sl-SI"/>
          </w:rPr>
          <w:t>14/15</w:t>
        </w:r>
      </w:hyperlink>
      <w:r w:rsidR="006D223B" w:rsidRPr="006D223B">
        <w:rPr>
          <w:rFonts w:ascii="Times-Roman" w:hAnsi="Times-Roman" w:cs="Times-Roman"/>
          <w:color w:val="000000"/>
          <w:szCs w:val="24"/>
          <w:lang w:eastAsia="sl-SI"/>
        </w:rPr>
        <w:t xml:space="preserve"> – ZUUJFO</w:t>
      </w:r>
      <w:r w:rsidR="007E4D14">
        <w:rPr>
          <w:rFonts w:ascii="Times-Roman" w:hAnsi="Times-Roman" w:cs="Times-Roman"/>
          <w:color w:val="000000"/>
          <w:szCs w:val="24"/>
          <w:lang w:eastAsia="sl-SI"/>
        </w:rPr>
        <w:t>,</w:t>
      </w:r>
      <w:r w:rsidR="006D223B" w:rsidRPr="006D223B">
        <w:rPr>
          <w:rFonts w:ascii="Times-Roman" w:hAnsi="Times-Roman" w:cs="Times-Roman"/>
          <w:color w:val="000000"/>
          <w:szCs w:val="24"/>
          <w:lang w:eastAsia="sl-SI"/>
        </w:rPr>
        <w:t xml:space="preserve"> </w:t>
      </w:r>
      <w:r w:rsidR="007E4D14" w:rsidRPr="007E4D14">
        <w:rPr>
          <w:rFonts w:ascii="Times-Roman" w:hAnsi="Times-Roman" w:cs="Times-Roman"/>
          <w:color w:val="000000"/>
          <w:szCs w:val="24"/>
          <w:lang w:eastAsia="sl-SI"/>
        </w:rPr>
        <w:t>84/15-ZZelP-J, 32/16, 30/18-ZKZaš in 189/20-ZFRO)</w:t>
      </w:r>
      <w:r w:rsidR="003D5F87">
        <w:rPr>
          <w:rFonts w:ascii="Times-Roman" w:hAnsi="Times-Roman" w:cs="Times-Roman"/>
          <w:color w:val="000000"/>
          <w:szCs w:val="24"/>
          <w:lang w:eastAsia="sl-SI"/>
        </w:rPr>
        <w:t xml:space="preserve"> </w:t>
      </w:r>
      <w:r>
        <w:rPr>
          <w:rFonts w:ascii="Times-Roman" w:hAnsi="Times-Roman" w:cs="Times-Roman"/>
          <w:color w:val="000000"/>
          <w:szCs w:val="24"/>
          <w:lang w:eastAsia="sl-SI"/>
        </w:rPr>
        <w:t>plač</w:t>
      </w:r>
      <w:r w:rsidR="00CF4E02">
        <w:rPr>
          <w:rFonts w:ascii="Times-Roman" w:hAnsi="Times-Roman" w:cs="Times-Roman"/>
          <w:color w:val="000000"/>
          <w:szCs w:val="24"/>
          <w:lang w:eastAsia="sl-SI"/>
        </w:rPr>
        <w:t>a upravna taksa v višini 22,60</w:t>
      </w:r>
      <w:r>
        <w:rPr>
          <w:rFonts w:ascii="Times-Roman" w:hAnsi="Times-Roman" w:cs="Times-Roman"/>
          <w:color w:val="000000"/>
          <w:szCs w:val="24"/>
          <w:lang w:eastAsia="sl-SI"/>
        </w:rPr>
        <w:t xml:space="preserve"> EUR. Upravna taksa se lahko pla</w:t>
      </w:r>
      <w:r>
        <w:rPr>
          <w:rFonts w:ascii="TTE1A5AA38t00" w:hAnsi="TTE1A5AA38t00" w:cs="TTE1A5AA38t00"/>
          <w:color w:val="000000"/>
          <w:szCs w:val="24"/>
          <w:lang w:eastAsia="sl-SI"/>
        </w:rPr>
        <w:t>č</w:t>
      </w:r>
      <w:r>
        <w:rPr>
          <w:rFonts w:ascii="Times-Roman" w:hAnsi="Times-Roman" w:cs="Times-Roman"/>
          <w:color w:val="000000"/>
          <w:szCs w:val="24"/>
          <w:lang w:eastAsia="sl-SI"/>
        </w:rPr>
        <w:t>a na podra</w:t>
      </w:r>
      <w:r>
        <w:rPr>
          <w:rFonts w:ascii="TTE1A5AA38t00" w:hAnsi="TTE1A5AA38t00" w:cs="TTE1A5AA38t00"/>
          <w:color w:val="000000"/>
          <w:szCs w:val="24"/>
          <w:lang w:eastAsia="sl-SI"/>
        </w:rPr>
        <w:t>č</w:t>
      </w:r>
      <w:r>
        <w:rPr>
          <w:rFonts w:ascii="Times-Roman" w:hAnsi="Times-Roman" w:cs="Times-Roman"/>
          <w:color w:val="000000"/>
          <w:szCs w:val="24"/>
          <w:lang w:eastAsia="sl-SI"/>
        </w:rPr>
        <w:t>un javnofinan</w:t>
      </w:r>
      <w:r>
        <w:rPr>
          <w:rFonts w:ascii="TTE1A5AA38t00" w:hAnsi="TTE1A5AA38t00" w:cs="TTE1A5AA38t00"/>
          <w:color w:val="000000"/>
          <w:szCs w:val="24"/>
          <w:lang w:eastAsia="sl-SI"/>
        </w:rPr>
        <w:t>č</w:t>
      </w:r>
      <w:r>
        <w:rPr>
          <w:rFonts w:ascii="Times-Roman" w:hAnsi="Times-Roman" w:cs="Times-Roman"/>
          <w:color w:val="000000"/>
          <w:szCs w:val="24"/>
          <w:lang w:eastAsia="sl-SI"/>
        </w:rPr>
        <w:t>nih prihodkov z nazivom: Upravne takse – državne in številko ra</w:t>
      </w:r>
      <w:r>
        <w:rPr>
          <w:rFonts w:ascii="TTE1A5AA38t00" w:hAnsi="TTE1A5AA38t00" w:cs="TTE1A5AA38t00"/>
          <w:color w:val="000000"/>
          <w:szCs w:val="24"/>
          <w:lang w:eastAsia="sl-SI"/>
        </w:rPr>
        <w:t>č</w:t>
      </w:r>
      <w:r>
        <w:rPr>
          <w:rFonts w:ascii="Times-Roman" w:hAnsi="Times-Roman" w:cs="Times-Roman"/>
          <w:color w:val="000000"/>
          <w:szCs w:val="24"/>
          <w:lang w:eastAsia="sl-SI"/>
        </w:rPr>
        <w:t xml:space="preserve">una: 0110 0100 0315 637 z navedbo reference: </w:t>
      </w:r>
      <w:r w:rsidRPr="00AC4A6A">
        <w:rPr>
          <w:rFonts w:ascii="Times-Roman" w:hAnsi="Times-Roman" w:cs="Times-Roman"/>
          <w:color w:val="000000" w:themeColor="text1"/>
          <w:szCs w:val="24"/>
          <w:lang w:eastAsia="sl-SI"/>
        </w:rPr>
        <w:t xml:space="preserve">11 </w:t>
      </w:r>
      <w:r w:rsidR="004E4AFB" w:rsidRPr="00AC4A6A">
        <w:rPr>
          <w:rFonts w:ascii="Times-Roman" w:hAnsi="Times-Roman" w:cs="Times-Roman"/>
          <w:color w:val="000000" w:themeColor="text1"/>
          <w:szCs w:val="24"/>
          <w:lang w:eastAsia="sl-SI"/>
        </w:rPr>
        <w:t>25</w:t>
      </w:r>
      <w:r w:rsidR="0099011F" w:rsidRPr="00AC4A6A">
        <w:rPr>
          <w:rFonts w:ascii="Times-Roman" w:hAnsi="Times-Roman" w:cs="Times-Roman"/>
          <w:color w:val="000000" w:themeColor="text1"/>
          <w:szCs w:val="24"/>
          <w:lang w:eastAsia="sl-SI"/>
        </w:rPr>
        <w:t>6</w:t>
      </w:r>
      <w:r w:rsidR="00944740" w:rsidRPr="00AC4A6A">
        <w:rPr>
          <w:rFonts w:ascii="Times-Roman" w:hAnsi="Times-Roman" w:cs="Times-Roman"/>
          <w:color w:val="000000" w:themeColor="text1"/>
          <w:szCs w:val="24"/>
          <w:lang w:eastAsia="sl-SI"/>
        </w:rPr>
        <w:t>0</w:t>
      </w:r>
      <w:r w:rsidR="005B0072" w:rsidRPr="00AC4A6A">
        <w:rPr>
          <w:rFonts w:ascii="Times-Roman" w:hAnsi="Times-Roman" w:cs="Times-Roman"/>
          <w:color w:val="000000" w:themeColor="text1"/>
          <w:szCs w:val="24"/>
          <w:lang w:eastAsia="sl-SI"/>
        </w:rPr>
        <w:t>7</w:t>
      </w:r>
      <w:r w:rsidR="007E4D14" w:rsidRPr="00AC4A6A">
        <w:rPr>
          <w:rFonts w:ascii="Times-Roman" w:hAnsi="Times-Roman" w:cs="Times-Roman"/>
          <w:color w:val="000000" w:themeColor="text1"/>
          <w:szCs w:val="24"/>
          <w:lang w:eastAsia="sl-SI"/>
        </w:rPr>
        <w:t xml:space="preserve">-7111002- </w:t>
      </w:r>
      <w:r w:rsidR="00D17C45" w:rsidRPr="00AC4A6A">
        <w:rPr>
          <w:rFonts w:ascii="Times-Roman" w:hAnsi="Times-Roman" w:cs="Times-Roman"/>
          <w:color w:val="000000" w:themeColor="text1"/>
          <w:szCs w:val="24"/>
          <w:lang w:eastAsia="sl-SI"/>
        </w:rPr>
        <w:t>3560002</w:t>
      </w:r>
      <w:r w:rsidR="003C6D8F" w:rsidRPr="00AC4A6A">
        <w:rPr>
          <w:rFonts w:ascii="Times-Roman" w:hAnsi="Times-Roman" w:cs="Times-Roman"/>
          <w:color w:val="000000" w:themeColor="text1"/>
          <w:szCs w:val="24"/>
          <w:lang w:eastAsia="sl-SI"/>
        </w:rPr>
        <w:t>5</w:t>
      </w:r>
      <w:r w:rsidRPr="00AC4A6A">
        <w:rPr>
          <w:rFonts w:ascii="Times-Roman" w:hAnsi="Times-Roman" w:cs="Times-Roman"/>
          <w:color w:val="000000" w:themeColor="text1"/>
          <w:szCs w:val="24"/>
          <w:lang w:eastAsia="sl-SI"/>
        </w:rPr>
        <w:t>.</w:t>
      </w:r>
    </w:p>
    <w:p w14:paraId="1A18D033" w14:textId="77777777" w:rsidR="00944740" w:rsidRDefault="00944740" w:rsidP="00944740">
      <w:pPr>
        <w:tabs>
          <w:tab w:val="right" w:pos="7797"/>
        </w:tabs>
        <w:autoSpaceDE w:val="0"/>
        <w:autoSpaceDN w:val="0"/>
        <w:adjustRightInd w:val="0"/>
        <w:rPr>
          <w:rFonts w:cs="Arial"/>
          <w:b/>
          <w:bCs/>
        </w:rPr>
      </w:pPr>
    </w:p>
    <w:p w14:paraId="30ED877B" w14:textId="7791A8C1" w:rsidR="00944740" w:rsidRPr="00376ECA" w:rsidRDefault="00944740" w:rsidP="00944740">
      <w:pPr>
        <w:tabs>
          <w:tab w:val="right" w:pos="7797"/>
        </w:tabs>
        <w:autoSpaceDE w:val="0"/>
        <w:autoSpaceDN w:val="0"/>
        <w:adjustRightInd w:val="0"/>
        <w:rPr>
          <w:rFonts w:cs="Arial"/>
          <w:bCs/>
        </w:rPr>
      </w:pPr>
      <w:r w:rsidRPr="00376ECA">
        <w:rPr>
          <w:rFonts w:cs="Arial"/>
          <w:b/>
          <w:bCs/>
        </w:rPr>
        <w:t>Pouk o pravnem sredstvu</w:t>
      </w:r>
    </w:p>
    <w:p w14:paraId="6AD2B74A" w14:textId="2307DE49" w:rsidR="00E7118B" w:rsidRDefault="00E7118B" w:rsidP="005B38D1">
      <w:pPr>
        <w:autoSpaceDE w:val="0"/>
        <w:autoSpaceDN w:val="0"/>
        <w:adjustRightInd w:val="0"/>
        <w:spacing w:before="240"/>
        <w:rPr>
          <w:rFonts w:ascii="Times-Roman" w:hAnsi="Times-Roman" w:cs="Times-Roman"/>
          <w:color w:val="000000"/>
          <w:szCs w:val="24"/>
          <w:lang w:eastAsia="sl-SI"/>
        </w:rPr>
      </w:pPr>
      <w:r w:rsidRPr="00376ECA">
        <w:rPr>
          <w:rFonts w:ascii="Times-Roman" w:hAnsi="Times-Roman" w:cs="Times-Roman"/>
          <w:color w:val="000000"/>
          <w:szCs w:val="24"/>
          <w:lang w:eastAsia="sl-SI"/>
        </w:rPr>
        <w:t xml:space="preserve">Zoper </w:t>
      </w:r>
      <w:r w:rsidR="00944740" w:rsidRPr="00376ECA">
        <w:rPr>
          <w:rFonts w:ascii="Times-Roman" w:hAnsi="Times-Roman" w:cs="Times-Roman"/>
          <w:color w:val="000000"/>
          <w:szCs w:val="24"/>
          <w:lang w:eastAsia="sl-SI"/>
        </w:rPr>
        <w:t>to</w:t>
      </w:r>
      <w:r w:rsidRPr="00376ECA">
        <w:rPr>
          <w:rFonts w:ascii="Times-Roman" w:hAnsi="Times-Roman" w:cs="Times-Roman"/>
          <w:color w:val="000000"/>
          <w:szCs w:val="24"/>
          <w:lang w:eastAsia="sl-SI"/>
        </w:rPr>
        <w:t xml:space="preserve"> odlo</w:t>
      </w:r>
      <w:r w:rsidRPr="00376ECA">
        <w:rPr>
          <w:rFonts w:ascii="TTE1A5AA38t00" w:hAnsi="TTE1A5AA38t00" w:cs="TTE1A5AA38t00"/>
          <w:color w:val="000000"/>
          <w:szCs w:val="24"/>
          <w:lang w:eastAsia="sl-SI"/>
        </w:rPr>
        <w:t>č</w:t>
      </w:r>
      <w:r w:rsidRPr="00376ECA">
        <w:rPr>
          <w:rFonts w:ascii="Times-Roman" w:hAnsi="Times-Roman" w:cs="Times-Roman"/>
          <w:color w:val="000000"/>
          <w:szCs w:val="24"/>
          <w:lang w:eastAsia="sl-SI"/>
        </w:rPr>
        <w:t xml:space="preserve">bo </w:t>
      </w:r>
      <w:r w:rsidR="00944740" w:rsidRPr="00376ECA">
        <w:rPr>
          <w:rFonts w:ascii="Times-Roman" w:hAnsi="Times-Roman" w:cs="Times-Roman"/>
          <w:color w:val="000000"/>
          <w:szCs w:val="24"/>
          <w:lang w:eastAsia="sl-SI"/>
        </w:rPr>
        <w:t xml:space="preserve">ni pritožbe, </w:t>
      </w:r>
      <w:r w:rsidR="00944740" w:rsidRPr="00376ECA">
        <w:t>pač pa je dovoljen upravni spor z vložitvijo tožbe na Upravno sodišče Republike Slovenije v roku 30 dni od vročitve odločbe. Tožbo se vloži neposredno pri pristojnem sodišču ali pošlje po pošti.</w:t>
      </w:r>
    </w:p>
    <w:sectPr w:rsidR="00E7118B" w:rsidSect="00EC10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5AA3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2799C"/>
    <w:multiLevelType w:val="hybridMultilevel"/>
    <w:tmpl w:val="1FBE41AE"/>
    <w:lvl w:ilvl="0" w:tplc="20E68650">
      <w:start w:val="5"/>
      <w:numFmt w:val="decimal"/>
      <w:lvlText w:val="%1"/>
      <w:lvlJc w:val="left"/>
      <w:pPr>
        <w:tabs>
          <w:tab w:val="num" w:pos="960"/>
        </w:tabs>
        <w:ind w:left="960" w:hanging="60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16cid:durableId="104008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CD"/>
    <w:rsid w:val="00070860"/>
    <w:rsid w:val="00082886"/>
    <w:rsid w:val="00090C9F"/>
    <w:rsid w:val="00097BEF"/>
    <w:rsid w:val="000A4530"/>
    <w:rsid w:val="000D08C3"/>
    <w:rsid w:val="000E0ADB"/>
    <w:rsid w:val="000F2786"/>
    <w:rsid w:val="001B0297"/>
    <w:rsid w:val="0021204E"/>
    <w:rsid w:val="0025675E"/>
    <w:rsid w:val="002E544B"/>
    <w:rsid w:val="002F23D1"/>
    <w:rsid w:val="0033040E"/>
    <w:rsid w:val="003316F8"/>
    <w:rsid w:val="00376ECA"/>
    <w:rsid w:val="003A3571"/>
    <w:rsid w:val="003C6D8F"/>
    <w:rsid w:val="003D5F87"/>
    <w:rsid w:val="00405CFE"/>
    <w:rsid w:val="00411855"/>
    <w:rsid w:val="004D6A53"/>
    <w:rsid w:val="004E4AFB"/>
    <w:rsid w:val="005804FB"/>
    <w:rsid w:val="005B0072"/>
    <w:rsid w:val="005B0906"/>
    <w:rsid w:val="005B38D1"/>
    <w:rsid w:val="005D0EAA"/>
    <w:rsid w:val="00620820"/>
    <w:rsid w:val="00641F5A"/>
    <w:rsid w:val="00663B08"/>
    <w:rsid w:val="006767CC"/>
    <w:rsid w:val="006B11CC"/>
    <w:rsid w:val="006C541A"/>
    <w:rsid w:val="006D223B"/>
    <w:rsid w:val="00740EF8"/>
    <w:rsid w:val="00741F96"/>
    <w:rsid w:val="00752B92"/>
    <w:rsid w:val="00764AD8"/>
    <w:rsid w:val="00767E4D"/>
    <w:rsid w:val="007E4D14"/>
    <w:rsid w:val="007F4420"/>
    <w:rsid w:val="008516AA"/>
    <w:rsid w:val="00856898"/>
    <w:rsid w:val="008C6F22"/>
    <w:rsid w:val="008F6D63"/>
    <w:rsid w:val="00944740"/>
    <w:rsid w:val="00953EE9"/>
    <w:rsid w:val="0099011F"/>
    <w:rsid w:val="009B29BC"/>
    <w:rsid w:val="00A00863"/>
    <w:rsid w:val="00A55607"/>
    <w:rsid w:val="00A66310"/>
    <w:rsid w:val="00AA52A0"/>
    <w:rsid w:val="00AC4A6A"/>
    <w:rsid w:val="00AE02FF"/>
    <w:rsid w:val="00B50CD5"/>
    <w:rsid w:val="00B65268"/>
    <w:rsid w:val="00B850EC"/>
    <w:rsid w:val="00BB201E"/>
    <w:rsid w:val="00BD25AA"/>
    <w:rsid w:val="00C02453"/>
    <w:rsid w:val="00C441D7"/>
    <w:rsid w:val="00C82501"/>
    <w:rsid w:val="00CB1F11"/>
    <w:rsid w:val="00CE0ACD"/>
    <w:rsid w:val="00CF4E02"/>
    <w:rsid w:val="00D17C45"/>
    <w:rsid w:val="00D82D85"/>
    <w:rsid w:val="00DA51CD"/>
    <w:rsid w:val="00E24A0C"/>
    <w:rsid w:val="00E251F5"/>
    <w:rsid w:val="00E378D8"/>
    <w:rsid w:val="00E7118B"/>
    <w:rsid w:val="00EC1032"/>
    <w:rsid w:val="00EE1CD6"/>
    <w:rsid w:val="00F07671"/>
    <w:rsid w:val="00F30744"/>
    <w:rsid w:val="00F31CBA"/>
    <w:rsid w:val="00F6453B"/>
    <w:rsid w:val="00FC69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26D73"/>
  <w14:defaultImageDpi w14:val="0"/>
  <w15:docId w15:val="{A457AEFD-51EA-4355-A21E-9ACC141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0" w:line="240" w:lineRule="auto"/>
      <w:jc w:val="both"/>
    </w:pPr>
    <w:rPr>
      <w:sz w:val="24"/>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Pr>
      <w:sz w:val="20"/>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lang w:val="x-none" w:eastAsia="en-US"/>
    </w:rPr>
  </w:style>
  <w:style w:type="character" w:styleId="Sprotnaopomba-sklic">
    <w:name w:val="footnote reference"/>
    <w:basedOn w:val="Privzetapisavaodstavka"/>
    <w:uiPriority w:val="99"/>
    <w:semiHidden/>
    <w:rPr>
      <w:rFonts w:cs="Times New Roman"/>
      <w:vertAlign w:val="superscript"/>
    </w:rPr>
  </w:style>
  <w:style w:type="character" w:customStyle="1" w:styleId="tw4winMark">
    <w:name w:val="tw4winMark"/>
    <w:uiPriority w:val="99"/>
    <w:rPr>
      <w:rFonts w:ascii="Courier New" w:hAnsi="Courier New"/>
      <w:vanish/>
      <w:color w:val="800080"/>
      <w:vertAlign w:val="subscript"/>
    </w:rPr>
  </w:style>
  <w:style w:type="character" w:styleId="Pripombasklic">
    <w:name w:val="annotation reference"/>
    <w:basedOn w:val="Privzetapisavaodstavka"/>
    <w:uiPriority w:val="99"/>
    <w:semiHidden/>
    <w:rsid w:val="00F07671"/>
    <w:rPr>
      <w:rFonts w:cs="Times New Roman"/>
      <w:sz w:val="16"/>
      <w:szCs w:val="16"/>
    </w:rPr>
  </w:style>
  <w:style w:type="paragraph" w:styleId="Pripombabesedilo">
    <w:name w:val="annotation text"/>
    <w:basedOn w:val="Navaden"/>
    <w:link w:val="PripombabesediloZnak"/>
    <w:uiPriority w:val="99"/>
    <w:semiHidden/>
    <w:rsid w:val="00F07671"/>
    <w:rPr>
      <w:sz w:val="20"/>
    </w:rPr>
  </w:style>
  <w:style w:type="character" w:customStyle="1" w:styleId="PripombabesediloZnak">
    <w:name w:val="Pripomba – besedilo Znak"/>
    <w:basedOn w:val="Privzetapisavaodstavka"/>
    <w:link w:val="Pripombabesedilo"/>
    <w:uiPriority w:val="99"/>
    <w:semiHidden/>
    <w:locked/>
    <w:rPr>
      <w:rFonts w:cs="Times New Roman"/>
      <w:sz w:val="20"/>
      <w:szCs w:val="20"/>
      <w:lang w:val="x-none" w:eastAsia="en-US"/>
    </w:rPr>
  </w:style>
  <w:style w:type="paragraph" w:styleId="Zadevapripombe">
    <w:name w:val="annotation subject"/>
    <w:basedOn w:val="Pripombabesedilo"/>
    <w:next w:val="Pripombabesedilo"/>
    <w:link w:val="ZadevapripombeZnak"/>
    <w:uiPriority w:val="99"/>
    <w:semiHidden/>
    <w:rsid w:val="00F07671"/>
    <w:rPr>
      <w:b/>
      <w:bCs/>
    </w:rPr>
  </w:style>
  <w:style w:type="character" w:customStyle="1" w:styleId="ZadevapripombeZnak">
    <w:name w:val="Zadeva pripombe Znak"/>
    <w:basedOn w:val="PripombabesediloZnak"/>
    <w:link w:val="Zadevapripombe"/>
    <w:uiPriority w:val="99"/>
    <w:semiHidden/>
    <w:locked/>
    <w:rPr>
      <w:rFonts w:cs="Times New Roman"/>
      <w:b/>
      <w:bCs/>
      <w:sz w:val="20"/>
      <w:szCs w:val="20"/>
      <w:lang w:val="x-none" w:eastAsia="en-US"/>
    </w:rPr>
  </w:style>
  <w:style w:type="paragraph" w:styleId="Besedilooblaka">
    <w:name w:val="Balloon Text"/>
    <w:basedOn w:val="Navaden"/>
    <w:link w:val="BesedilooblakaZnak"/>
    <w:uiPriority w:val="99"/>
    <w:semiHidden/>
    <w:rsid w:val="00F0767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Segoe UI" w:hAnsi="Segoe UI" w:cs="Segoe UI"/>
      <w:sz w:val="18"/>
      <w:szCs w:val="18"/>
      <w:lang w:val="x-none" w:eastAsia="en-US"/>
    </w:rPr>
  </w:style>
  <w:style w:type="paragraph" w:styleId="Telobesedila3">
    <w:name w:val="Body Text 3"/>
    <w:basedOn w:val="Navaden"/>
    <w:link w:val="Telobesedila3Znak"/>
    <w:uiPriority w:val="99"/>
    <w:rsid w:val="00EC1032"/>
    <w:pPr>
      <w:spacing w:after="120"/>
      <w:jc w:val="left"/>
    </w:pPr>
    <w:rPr>
      <w:sz w:val="16"/>
      <w:szCs w:val="16"/>
      <w:lang w:eastAsia="sl-SI"/>
    </w:rPr>
  </w:style>
  <w:style w:type="character" w:customStyle="1" w:styleId="Telobesedila3Znak">
    <w:name w:val="Telo besedila 3 Znak"/>
    <w:basedOn w:val="Privzetapisavaodstavka"/>
    <w:link w:val="Telobesedila3"/>
    <w:uiPriority w:val="99"/>
    <w:semiHidden/>
    <w:locked/>
    <w:rPr>
      <w:rFonts w:cs="Times New Roman"/>
      <w:sz w:val="16"/>
      <w:szCs w:val="16"/>
      <w:lang w:val="x-none" w:eastAsia="en-US"/>
    </w:rPr>
  </w:style>
  <w:style w:type="character" w:styleId="Hiperpovezava">
    <w:name w:val="Hyperlink"/>
    <w:basedOn w:val="Privzetapisavaodstavka"/>
    <w:uiPriority w:val="99"/>
    <w:rsid w:val="000D08C3"/>
    <w:rPr>
      <w:rFonts w:cs="Times New Roman"/>
      <w:color w:val="0000FF"/>
      <w:u w:val="single"/>
    </w:rPr>
  </w:style>
  <w:style w:type="paragraph" w:styleId="Revizija">
    <w:name w:val="Revision"/>
    <w:hidden/>
    <w:uiPriority w:val="99"/>
    <w:semiHidden/>
    <w:rsid w:val="00EE1CD6"/>
    <w:pPr>
      <w:spacing w:after="0" w:line="240" w:lineRule="auto"/>
    </w:pPr>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5-01-0505" TargetMode="External"/><Relationship Id="rId5" Type="http://schemas.openxmlformats.org/officeDocument/2006/relationships/hyperlink" Target="http://www.uradni-list.si/1/objava.jsp?sop=2010-01-5482"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4837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Navodila in razlaga</vt:lpstr>
    </vt:vector>
  </TitlesOfParts>
  <Company>ARSO</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in razlaga</dc:title>
  <dc:subject/>
  <dc:creator>Mavri</dc:creator>
  <cp:keywords/>
  <dc:description/>
  <cp:lastModifiedBy>Martin Klemenc</cp:lastModifiedBy>
  <cp:revision>12</cp:revision>
  <cp:lastPrinted>2017-03-30T09:51:00Z</cp:lastPrinted>
  <dcterms:created xsi:type="dcterms:W3CDTF">2021-09-17T10:14:00Z</dcterms:created>
  <dcterms:modified xsi:type="dcterms:W3CDTF">2025-01-16T10:19:00Z</dcterms:modified>
</cp:coreProperties>
</file>